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4804" w14:textId="77777777" w:rsidR="00BE46B8" w:rsidRDefault="00000000">
      <w:pPr>
        <w:pStyle w:val="Szvegtrzs"/>
        <w:spacing w:after="0" w:line="240" w:lineRule="auto"/>
        <w:jc w:val="center"/>
      </w:pPr>
      <w:r>
        <w:t xml:space="preserve">Üllés Nagyközségi Önkormányzata Képviselő-testületének </w:t>
      </w:r>
    </w:p>
    <w:p w14:paraId="4540F2DC" w14:textId="42BCC01F" w:rsidR="000208B8" w:rsidRDefault="00000000">
      <w:pPr>
        <w:pStyle w:val="Szvegtrzs"/>
        <w:spacing w:after="0" w:line="240" w:lineRule="auto"/>
        <w:jc w:val="center"/>
      </w:pPr>
      <w:r>
        <w:t>12/2022. (VIII. 5.) önkormányzati rendelete</w:t>
      </w:r>
    </w:p>
    <w:p w14:paraId="67B1C19A" w14:textId="77777777" w:rsidR="000208B8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élelmezési nyersanyagköltségről és étkezési térítési díjakról</w:t>
      </w:r>
    </w:p>
    <w:p w14:paraId="295D2F6D" w14:textId="77777777" w:rsidR="000208B8" w:rsidRDefault="00000000">
      <w:pPr>
        <w:pStyle w:val="Szvegtrzs"/>
        <w:spacing w:before="220" w:after="0" w:line="240" w:lineRule="auto"/>
        <w:jc w:val="both"/>
      </w:pPr>
      <w:r>
        <w:t>Üllés Nagyközségi Önkormányzat Képviselőtestülete az Alaptörvény 32. cikk (2) bekezdésében kapott felhatalmazás alapján a következőket rendeli el:</w:t>
      </w:r>
    </w:p>
    <w:p w14:paraId="76F13373" w14:textId="77777777" w:rsidR="000208B8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E4FAE3A" w14:textId="77777777" w:rsidR="000208B8" w:rsidRDefault="00000000">
      <w:pPr>
        <w:pStyle w:val="Szvegtrzs"/>
        <w:spacing w:after="0" w:line="240" w:lineRule="auto"/>
        <w:jc w:val="both"/>
      </w:pPr>
      <w:r>
        <w:t xml:space="preserve">(1) A Rendelet </w:t>
      </w:r>
      <w:proofErr w:type="gramStart"/>
      <w:r>
        <w:t>( a</w:t>
      </w:r>
      <w:proofErr w:type="gramEnd"/>
      <w:r>
        <w:t xml:space="preserve"> továbbiakban: Rendelet) hatálya kiterjed Üllés Nagyközségi Önkormányzat fenntartásában működő </w:t>
      </w:r>
      <w:proofErr w:type="spellStart"/>
      <w:r>
        <w:t>Üllési</w:t>
      </w:r>
      <w:proofErr w:type="spellEnd"/>
      <w:r>
        <w:t xml:space="preserve"> Önkormányzati Konyha intézményében végzett étkeztetés nyersanyagköltségeire és rezsi költségére.</w:t>
      </w:r>
    </w:p>
    <w:p w14:paraId="71DBACD3" w14:textId="77777777" w:rsidR="000208B8" w:rsidRDefault="00000000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"/>
      </w:r>
      <w:r>
        <w:t xml:space="preserve"> A Rendelet személyi hatálya kiterjed az Üllés, Forráskút, Csólyospálos Községi Általános Iskola és Alapfokú Művészeti Iskola Fontos Sándor Tagintézménye gyermekétkeztetésére, az önkormányzat fenntartásában lévő Erdei iskola felnőtt, gyermekétkeztetésére, a Csigabiga Óvoda és Bölcsőde gyermekétkeztetésére.</w:t>
      </w:r>
    </w:p>
    <w:p w14:paraId="13821EFB" w14:textId="77777777" w:rsidR="000208B8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1EB2E45" w14:textId="77777777" w:rsidR="000208B8" w:rsidRDefault="00000000">
      <w:pPr>
        <w:pStyle w:val="Szvegtrzs"/>
        <w:spacing w:after="0" w:line="240" w:lineRule="auto"/>
        <w:jc w:val="both"/>
      </w:pPr>
      <w:r>
        <w:t xml:space="preserve">(1) Üllés Nagyközségi Önkormányzat Képviselőtestülete az </w:t>
      </w:r>
      <w:proofErr w:type="spellStart"/>
      <w:r>
        <w:t>Üllési</w:t>
      </w:r>
      <w:proofErr w:type="spellEnd"/>
      <w:r>
        <w:t xml:space="preserve"> Önkormányzati Konyha élelmezési nyersanyagköltségeit és az étkezési térítési díjakat ÁFA nélkül e Rendelet 1. melléklete szerint állapítja meg.</w:t>
      </w:r>
    </w:p>
    <w:p w14:paraId="365AD18D" w14:textId="77777777" w:rsidR="000208B8" w:rsidRDefault="00000000">
      <w:pPr>
        <w:pStyle w:val="Szvegtrzs"/>
        <w:spacing w:before="240" w:after="0" w:line="240" w:lineRule="auto"/>
        <w:jc w:val="both"/>
      </w:pPr>
      <w:r>
        <w:t>(2) A Rendelet 1. mellékletében meghatározott költségeket és díjakat a Képviselő-testület évente felülvizsgálja.</w:t>
      </w:r>
    </w:p>
    <w:p w14:paraId="5525E8D0" w14:textId="77777777" w:rsidR="000208B8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  <w:r>
        <w:rPr>
          <w:rStyle w:val="FootnoteAnchor"/>
          <w:b/>
          <w:bCs/>
        </w:rPr>
        <w:footnoteReference w:id="2"/>
      </w:r>
    </w:p>
    <w:p w14:paraId="2A615532" w14:textId="77777777" w:rsidR="000208B8" w:rsidRDefault="00000000" w:rsidP="00BF36C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30E2CA3" w14:textId="77777777" w:rsidR="000208B8" w:rsidRDefault="00000000" w:rsidP="00BF36CE">
      <w:pPr>
        <w:pStyle w:val="Szvegtrzs"/>
        <w:spacing w:after="0" w:line="240" w:lineRule="auto"/>
        <w:jc w:val="both"/>
      </w:pPr>
      <w:r>
        <w:t>Ez a rendelet 2022. szeptember 5-én lép hatályba.</w:t>
      </w:r>
    </w:p>
    <w:p w14:paraId="444D5B43" w14:textId="77777777" w:rsidR="00BF36CE" w:rsidRDefault="00000000" w:rsidP="00BF36C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  <w:r>
        <w:rPr>
          <w:rStyle w:val="FootnoteAnchor"/>
          <w:b/>
          <w:bCs/>
        </w:rPr>
        <w:footnoteReference w:id="3"/>
      </w:r>
    </w:p>
    <w:p w14:paraId="31DE1B91" w14:textId="77777777" w:rsidR="00BF36CE" w:rsidRDefault="00BF36CE" w:rsidP="00BF36CE">
      <w:pPr>
        <w:pStyle w:val="Szvegtrzs"/>
        <w:spacing w:after="0" w:line="240" w:lineRule="auto"/>
        <w:jc w:val="center"/>
        <w:rPr>
          <w:b/>
          <w:bCs/>
        </w:rPr>
      </w:pPr>
    </w:p>
    <w:p w14:paraId="4DA23F27" w14:textId="77777777" w:rsidR="00BF36CE" w:rsidRDefault="00BF36CE" w:rsidP="00BF36CE">
      <w:pPr>
        <w:pStyle w:val="Szvegtrzs"/>
        <w:spacing w:after="0" w:line="240" w:lineRule="auto"/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2022. augusztus 5. </w:t>
      </w:r>
    </w:p>
    <w:p w14:paraId="498C4A11" w14:textId="77777777" w:rsidR="00BF36CE" w:rsidRDefault="00BF36CE" w:rsidP="00BF36CE">
      <w:pPr>
        <w:pStyle w:val="Szvegtrzs"/>
        <w:spacing w:after="0" w:line="240" w:lineRule="auto"/>
        <w:jc w:val="both"/>
      </w:pPr>
    </w:p>
    <w:p w14:paraId="484A8F6E" w14:textId="25B91CA2" w:rsidR="00BF36CE" w:rsidRDefault="00BF36CE" w:rsidP="00BF36CE">
      <w:pPr>
        <w:pStyle w:val="Szvegtrzs"/>
        <w:spacing w:after="0" w:line="240" w:lineRule="auto"/>
        <w:jc w:val="both"/>
      </w:pPr>
      <w:r>
        <w:t>Nagy Attila Gyula s.k.                                                                      Dr. Borbás Zsuzsanna s.k.</w:t>
      </w:r>
    </w:p>
    <w:p w14:paraId="2D85FD3F" w14:textId="77777777" w:rsidR="00BF36CE" w:rsidRDefault="00BF36CE" w:rsidP="00BF36CE">
      <w:pPr>
        <w:pStyle w:val="Szvegtrzs"/>
        <w:spacing w:after="0" w:line="240" w:lineRule="auto"/>
        <w:jc w:val="both"/>
      </w:pPr>
      <w:r>
        <w:t>polgármester                                                                                                 jegyző</w:t>
      </w:r>
    </w:p>
    <w:p w14:paraId="5DD27DF2" w14:textId="77777777" w:rsidR="00BF36CE" w:rsidRDefault="00BF36CE" w:rsidP="00BF36CE">
      <w:pPr>
        <w:pStyle w:val="Szvegtrzs"/>
        <w:spacing w:after="0" w:line="240" w:lineRule="auto"/>
        <w:jc w:val="both"/>
      </w:pPr>
    </w:p>
    <w:p w14:paraId="18F5B832" w14:textId="77777777" w:rsidR="00BF36CE" w:rsidRDefault="00BF36CE" w:rsidP="00BF36CE">
      <w:pPr>
        <w:pStyle w:val="Szvegtrzs"/>
        <w:spacing w:after="0" w:line="240" w:lineRule="auto"/>
        <w:jc w:val="both"/>
      </w:pPr>
      <w:r>
        <w:t>A rendelet egységes szerkezetbe foglalva:</w:t>
      </w:r>
    </w:p>
    <w:p w14:paraId="29C128E2" w14:textId="77777777" w:rsidR="00BF36CE" w:rsidRDefault="00BF36CE" w:rsidP="00BF36CE">
      <w:pPr>
        <w:pStyle w:val="Szvegtrzs"/>
        <w:spacing w:after="0" w:line="240" w:lineRule="auto"/>
        <w:jc w:val="both"/>
      </w:pPr>
      <w:r>
        <w:t>2023. április 19.</w:t>
      </w:r>
    </w:p>
    <w:p w14:paraId="1A2A084C" w14:textId="77777777" w:rsidR="00BF36CE" w:rsidRDefault="00BF36CE" w:rsidP="00BF36CE">
      <w:pPr>
        <w:pStyle w:val="Szvegtrzs"/>
        <w:spacing w:after="0" w:line="240" w:lineRule="auto"/>
        <w:jc w:val="both"/>
      </w:pPr>
    </w:p>
    <w:p w14:paraId="11A6FAB8" w14:textId="77777777" w:rsidR="00BF36CE" w:rsidRDefault="00BF36CE" w:rsidP="00BF36CE">
      <w:pPr>
        <w:pStyle w:val="Szvegtrzs"/>
        <w:spacing w:after="0" w:line="240" w:lineRule="auto"/>
        <w:jc w:val="both"/>
      </w:pPr>
    </w:p>
    <w:p w14:paraId="1C0FD05C" w14:textId="77777777" w:rsidR="00BF36CE" w:rsidRDefault="00BF36CE" w:rsidP="00BF36CE">
      <w:pPr>
        <w:pStyle w:val="Szvegtrzs"/>
        <w:spacing w:after="0" w:line="240" w:lineRule="auto"/>
        <w:jc w:val="both"/>
      </w:pPr>
      <w:r>
        <w:t xml:space="preserve">Dr. Borbás Zsuzsanna </w:t>
      </w:r>
    </w:p>
    <w:p w14:paraId="01D36261" w14:textId="4DED1A1E" w:rsidR="000208B8" w:rsidRDefault="00BF36CE" w:rsidP="00BF36CE">
      <w:pPr>
        <w:pStyle w:val="Szvegtrzs"/>
        <w:spacing w:after="0" w:line="240" w:lineRule="auto"/>
        <w:jc w:val="both"/>
        <w:rPr>
          <w:b/>
          <w:bCs/>
        </w:rPr>
      </w:pPr>
      <w:r>
        <w:t>jegyző</w:t>
      </w:r>
      <w:r w:rsidR="00000000">
        <w:br w:type="page"/>
      </w:r>
    </w:p>
    <w:p w14:paraId="2571CBC7" w14:textId="77777777" w:rsidR="000208B8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9A34F0A" w14:textId="77777777" w:rsidR="000208B8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Élelmezési nyersanyagköltség és étkezési térítési díjak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2213"/>
        <w:gridCol w:w="2309"/>
        <w:gridCol w:w="2695"/>
      </w:tblGrid>
      <w:tr w:rsidR="000208B8" w14:paraId="74855FD8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BF086" w14:textId="77777777" w:rsidR="000208B8" w:rsidRDefault="000208B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1FDE" w14:textId="77777777" w:rsidR="000208B8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Élelmezési nyersanyagköltség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63A9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Önkormányzati Konyha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rezsiköltsége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2655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Szolgáltatásért fizetendő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térítési díj</w:t>
            </w:r>
          </w:p>
        </w:tc>
      </w:tr>
      <w:tr w:rsidR="000208B8" w14:paraId="0136A6A3" w14:textId="77777777"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E0EC" w14:textId="77777777" w:rsidR="000208B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Bölcsőde</w:t>
            </w:r>
            <w:r>
              <w:rPr>
                <w:rStyle w:val="FootnoteAnchor"/>
                <w:sz w:val="18"/>
                <w:szCs w:val="18"/>
              </w:rPr>
              <w:footnoteReference w:id="4"/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9687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 170 Ft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75E3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 263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4BD2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 433 Ft</w:t>
            </w:r>
          </w:p>
        </w:tc>
      </w:tr>
      <w:tr w:rsidR="000208B8" w14:paraId="5EC00CE2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6B8C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9368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70 Ft</w:t>
            </w:r>
            <w:r>
              <w:rPr>
                <w:rStyle w:val="FootnoteAnchor"/>
                <w:sz w:val="18"/>
                <w:szCs w:val="18"/>
              </w:rPr>
              <w:footnoteReference w:id="5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CEF0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108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C0B0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178 Ft</w:t>
            </w:r>
          </w:p>
        </w:tc>
      </w:tr>
      <w:tr w:rsidR="000208B8" w14:paraId="7AA2FB60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17FE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0F3E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320 Ft</w:t>
            </w:r>
            <w:r>
              <w:rPr>
                <w:rStyle w:val="FootnoteAnchor"/>
                <w:sz w:val="18"/>
                <w:szCs w:val="18"/>
              </w:rPr>
              <w:footnoteReference w:id="6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7832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495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D242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815 Ft</w:t>
            </w:r>
          </w:p>
        </w:tc>
      </w:tr>
      <w:tr w:rsidR="000208B8" w14:paraId="0EC64B07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8411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531F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100 Ft</w:t>
            </w:r>
            <w:r>
              <w:rPr>
                <w:rStyle w:val="FootnoteAnchor"/>
                <w:sz w:val="18"/>
                <w:szCs w:val="18"/>
              </w:rPr>
              <w:footnoteReference w:id="7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A906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155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2014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255 Ft</w:t>
            </w:r>
          </w:p>
        </w:tc>
      </w:tr>
      <w:tr w:rsidR="000208B8" w14:paraId="09BC0B6A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0204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2F50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660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  <w:r>
              <w:rPr>
                <w:rStyle w:val="FootnoteAnchor"/>
                <w:sz w:val="18"/>
                <w:szCs w:val="18"/>
              </w:rPr>
              <w:footnoteReference w:id="8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046D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1021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A6E2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1681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</w:tr>
      <w:tr w:rsidR="000208B8" w14:paraId="54C1854A" w14:textId="77777777"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96C9" w14:textId="77777777" w:rsidR="000208B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Óvoda</w:t>
            </w:r>
            <w:r>
              <w:rPr>
                <w:rStyle w:val="FootnoteAnchor"/>
                <w:sz w:val="18"/>
                <w:szCs w:val="18"/>
              </w:rPr>
              <w:footnoteReference w:id="9"/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61D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140 Ft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801D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145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8963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285 Ft</w:t>
            </w:r>
          </w:p>
        </w:tc>
      </w:tr>
      <w:tr w:rsidR="000208B8" w14:paraId="56C2B680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3822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386F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360 Ft</w:t>
            </w:r>
            <w:r>
              <w:rPr>
                <w:rStyle w:val="FootnoteAnchor"/>
                <w:sz w:val="18"/>
                <w:szCs w:val="18"/>
              </w:rPr>
              <w:footnoteReference w:id="10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CA1F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374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F243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734 Ft</w:t>
            </w:r>
          </w:p>
        </w:tc>
      </w:tr>
      <w:tr w:rsidR="000208B8" w14:paraId="32280728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3541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AF8A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Uzsonna: 100 Ft</w:t>
            </w:r>
            <w:r>
              <w:rPr>
                <w:rStyle w:val="FootnoteAnchor"/>
                <w:sz w:val="18"/>
                <w:szCs w:val="18"/>
              </w:rPr>
              <w:footnoteReference w:id="11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326D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104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4BA6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204 Ft</w:t>
            </w:r>
          </w:p>
        </w:tc>
      </w:tr>
      <w:tr w:rsidR="000208B8" w14:paraId="462DA7C3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59EE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D57A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600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  <w:r>
              <w:rPr>
                <w:rStyle w:val="FootnoteAnchor"/>
                <w:sz w:val="18"/>
                <w:szCs w:val="18"/>
              </w:rPr>
              <w:footnoteReference w:id="12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973E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623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EAE9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1223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</w:tr>
      <w:tr w:rsidR="000208B8" w14:paraId="64009E29" w14:textId="77777777"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C9BE" w14:textId="77777777" w:rsidR="000208B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Iskolai napközi</w:t>
            </w:r>
            <w:r>
              <w:rPr>
                <w:rStyle w:val="FootnoteAnchor"/>
                <w:sz w:val="18"/>
                <w:szCs w:val="18"/>
              </w:rPr>
              <w:footnoteReference w:id="13"/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5910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150 Ft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88E4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153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50A4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303 Ft</w:t>
            </w:r>
          </w:p>
        </w:tc>
      </w:tr>
      <w:tr w:rsidR="000208B8" w14:paraId="4E34DB2D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6B08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C71C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450 Ft</w:t>
            </w:r>
            <w:r>
              <w:rPr>
                <w:rStyle w:val="FootnoteAnchor"/>
                <w:sz w:val="18"/>
                <w:szCs w:val="18"/>
              </w:rPr>
              <w:footnoteReference w:id="14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2F4D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459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644E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909 Ft</w:t>
            </w:r>
          </w:p>
        </w:tc>
      </w:tr>
      <w:tr w:rsidR="000208B8" w14:paraId="37123C68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3B31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AB95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120 Ft</w:t>
            </w:r>
            <w:r>
              <w:rPr>
                <w:rStyle w:val="FootnoteAnchor"/>
                <w:sz w:val="18"/>
                <w:szCs w:val="18"/>
              </w:rPr>
              <w:footnoteReference w:id="15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325E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123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25AD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243 Ft</w:t>
            </w:r>
          </w:p>
        </w:tc>
      </w:tr>
      <w:tr w:rsidR="000208B8" w14:paraId="14E93A0D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4476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452D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720 </w:t>
            </w:r>
            <w:r>
              <w:rPr>
                <w:b/>
                <w:bCs/>
                <w:sz w:val="18"/>
                <w:szCs w:val="18"/>
              </w:rPr>
              <w:t>Ft</w:t>
            </w:r>
            <w:r>
              <w:rPr>
                <w:rStyle w:val="FootnoteAnchor"/>
                <w:sz w:val="18"/>
                <w:szCs w:val="18"/>
              </w:rPr>
              <w:footnoteReference w:id="16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8ED1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735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95A1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1455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</w:tr>
      <w:tr w:rsidR="000208B8" w14:paraId="4420D927" w14:textId="77777777"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C22A" w14:textId="77777777" w:rsidR="000208B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Erdei iskola gyerek étkezés</w:t>
            </w:r>
            <w:r>
              <w:rPr>
                <w:rStyle w:val="FootnoteAnchor"/>
                <w:sz w:val="18"/>
                <w:szCs w:val="18"/>
              </w:rPr>
              <w:footnoteReference w:id="17"/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9CFF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 250 Ft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D761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 275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57B8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 525 Ft</w:t>
            </w:r>
          </w:p>
        </w:tc>
      </w:tr>
      <w:tr w:rsidR="000208B8" w14:paraId="3976491F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868F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EA2C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150 Ft</w:t>
            </w:r>
            <w:r>
              <w:rPr>
                <w:rStyle w:val="FootnoteAnchor"/>
                <w:sz w:val="18"/>
                <w:szCs w:val="18"/>
              </w:rPr>
              <w:footnoteReference w:id="18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8C1B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165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8D6D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315 Ft</w:t>
            </w:r>
          </w:p>
        </w:tc>
      </w:tr>
      <w:tr w:rsidR="000208B8" w14:paraId="2CB8CBF4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EF6D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CECF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450 Ft</w:t>
            </w:r>
            <w:r>
              <w:rPr>
                <w:rStyle w:val="FootnoteAnchor"/>
                <w:sz w:val="18"/>
                <w:szCs w:val="18"/>
              </w:rPr>
              <w:footnoteReference w:id="19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CD77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495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2839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945 Ft</w:t>
            </w:r>
          </w:p>
        </w:tc>
      </w:tr>
      <w:tr w:rsidR="000208B8" w14:paraId="5FAA1250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20CA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B45B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120 Ft</w:t>
            </w:r>
            <w:r>
              <w:rPr>
                <w:rStyle w:val="FootnoteAnchor"/>
                <w:sz w:val="18"/>
                <w:szCs w:val="18"/>
              </w:rPr>
              <w:footnoteReference w:id="20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F222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132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CB7B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252 Ft</w:t>
            </w:r>
          </w:p>
        </w:tc>
      </w:tr>
      <w:tr w:rsidR="000208B8" w14:paraId="27E4F697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5EBB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F357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 300 Ft</w:t>
            </w:r>
            <w:r>
              <w:rPr>
                <w:rStyle w:val="FootnoteAnchor"/>
                <w:sz w:val="18"/>
                <w:szCs w:val="18"/>
              </w:rPr>
              <w:footnoteReference w:id="21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2E6A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 330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823C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 630 Ft</w:t>
            </w:r>
          </w:p>
        </w:tc>
      </w:tr>
      <w:tr w:rsidR="000208B8" w14:paraId="4CF6A3AE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BA94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6A54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1270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  <w:r>
              <w:rPr>
                <w:rStyle w:val="FootnoteAnchor"/>
                <w:sz w:val="18"/>
                <w:szCs w:val="18"/>
              </w:rPr>
              <w:footnoteReference w:id="22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D296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1397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9590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2667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</w:tr>
      <w:tr w:rsidR="000208B8" w14:paraId="5FB4BC79" w14:textId="77777777"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3968" w14:textId="77777777" w:rsidR="000208B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Erdei Iskola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Felnőtt étkezés</w:t>
            </w:r>
            <w:r>
              <w:rPr>
                <w:rStyle w:val="FootnoteAnchor"/>
                <w:sz w:val="18"/>
                <w:szCs w:val="18"/>
              </w:rPr>
              <w:footnoteReference w:id="23"/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1389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 450 Ft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56EB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 495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61A4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 945 Ft</w:t>
            </w:r>
          </w:p>
        </w:tc>
      </w:tr>
      <w:tr w:rsidR="000208B8" w14:paraId="4CC34A84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5D60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0988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250 Ft</w:t>
            </w:r>
            <w:r>
              <w:rPr>
                <w:rStyle w:val="FootnoteAnchor"/>
                <w:sz w:val="18"/>
                <w:szCs w:val="18"/>
              </w:rPr>
              <w:footnoteReference w:id="24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A88E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275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3CFB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 525 Ft</w:t>
            </w:r>
          </w:p>
        </w:tc>
      </w:tr>
      <w:tr w:rsidR="000208B8" w14:paraId="1DA8D5F8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81EA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F7A6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510 Ft</w:t>
            </w:r>
            <w:r>
              <w:rPr>
                <w:rStyle w:val="FootnoteAnchor"/>
                <w:sz w:val="18"/>
                <w:szCs w:val="18"/>
              </w:rPr>
              <w:footnoteReference w:id="25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8F12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561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7170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 1071 Ft</w:t>
            </w:r>
          </w:p>
        </w:tc>
      </w:tr>
      <w:tr w:rsidR="000208B8" w14:paraId="39A87FC5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3D5E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3AC8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250 Ft</w:t>
            </w:r>
            <w:r>
              <w:rPr>
                <w:rStyle w:val="FootnoteAnchor"/>
                <w:sz w:val="18"/>
                <w:szCs w:val="18"/>
              </w:rPr>
              <w:footnoteReference w:id="26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D968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275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40F3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 525 Ft</w:t>
            </w:r>
          </w:p>
        </w:tc>
      </w:tr>
      <w:tr w:rsidR="000208B8" w14:paraId="029D2435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8C13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70C5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 450 Ft</w:t>
            </w:r>
            <w:r>
              <w:rPr>
                <w:rStyle w:val="FootnoteAnchor"/>
                <w:sz w:val="18"/>
                <w:szCs w:val="18"/>
              </w:rPr>
              <w:footnoteReference w:id="27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146D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 495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71C9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Vacsora 945 Ft</w:t>
            </w:r>
          </w:p>
        </w:tc>
      </w:tr>
      <w:tr w:rsidR="000208B8" w14:paraId="38C8C74B" w14:textId="77777777"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C637" w14:textId="77777777" w:rsidR="000208B8" w:rsidRDefault="000208B8"/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1854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1910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  <w:r>
              <w:rPr>
                <w:rStyle w:val="FootnoteAnchor"/>
                <w:sz w:val="18"/>
                <w:szCs w:val="18"/>
              </w:rPr>
              <w:footnoteReference w:id="28"/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3205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2101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CC0C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  <w:r>
              <w:rPr>
                <w:sz w:val="18"/>
                <w:szCs w:val="18"/>
              </w:rPr>
              <w:t xml:space="preserve"> 4011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</w:tr>
      <w:tr w:rsidR="000208B8" w14:paraId="0AA8F7DC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6769" w14:textId="77777777" w:rsidR="000208B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Felnőtt ebéd</w:t>
            </w:r>
            <w:r>
              <w:rPr>
                <w:rStyle w:val="FootnoteAnchor"/>
                <w:sz w:val="18"/>
                <w:szCs w:val="18"/>
              </w:rPr>
              <w:footnoteReference w:id="29"/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CE7B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Ebéd</w:t>
            </w:r>
            <w:r>
              <w:rPr>
                <w:sz w:val="18"/>
                <w:szCs w:val="18"/>
              </w:rPr>
              <w:t xml:space="preserve"> 510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2C63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Ebéd</w:t>
            </w:r>
            <w:r>
              <w:rPr>
                <w:sz w:val="18"/>
                <w:szCs w:val="18"/>
              </w:rPr>
              <w:t xml:space="preserve"> 561</w:t>
            </w:r>
            <w:r>
              <w:rPr>
                <w:b/>
                <w:bCs/>
                <w:sz w:val="18"/>
                <w:szCs w:val="18"/>
              </w:rPr>
              <w:t xml:space="preserve"> Ft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946D" w14:textId="77777777" w:rsidR="000208B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Ebéd</w:t>
            </w:r>
            <w:r>
              <w:rPr>
                <w:sz w:val="18"/>
                <w:szCs w:val="18"/>
              </w:rPr>
              <w:t xml:space="preserve"> 1071 </w:t>
            </w:r>
            <w:r>
              <w:rPr>
                <w:b/>
                <w:bCs/>
                <w:sz w:val="18"/>
                <w:szCs w:val="18"/>
              </w:rPr>
              <w:t>Ft</w:t>
            </w:r>
          </w:p>
        </w:tc>
      </w:tr>
      <w:tr w:rsidR="000208B8" w14:paraId="643CFF2C" w14:textId="7777777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79BB" w14:textId="77777777" w:rsidR="000208B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FootnoteAnchor"/>
                <w:sz w:val="18"/>
                <w:szCs w:val="18"/>
              </w:rPr>
              <w:footnoteReference w:id="30"/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C75D" w14:textId="77777777" w:rsidR="000208B8" w:rsidRDefault="000208B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F8C1" w14:textId="77777777" w:rsidR="000208B8" w:rsidRDefault="000208B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BFE7" w14:textId="77777777" w:rsidR="000208B8" w:rsidRDefault="000208B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3161760" w14:textId="77777777" w:rsidR="000208B8" w:rsidRDefault="000208B8"/>
    <w:sectPr w:rsidR="000208B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C847" w14:textId="77777777" w:rsidR="00A445B8" w:rsidRDefault="00A445B8">
      <w:r>
        <w:separator/>
      </w:r>
    </w:p>
  </w:endnote>
  <w:endnote w:type="continuationSeparator" w:id="0">
    <w:p w14:paraId="483E3AD6" w14:textId="77777777" w:rsidR="00A445B8" w:rsidRDefault="00A4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4D0C" w14:textId="77777777" w:rsidR="000208B8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A2E8" w14:textId="77777777" w:rsidR="00A445B8" w:rsidRDefault="00A445B8">
      <w:pPr>
        <w:rPr>
          <w:sz w:val="12"/>
        </w:rPr>
      </w:pPr>
      <w:r>
        <w:separator/>
      </w:r>
    </w:p>
  </w:footnote>
  <w:footnote w:type="continuationSeparator" w:id="0">
    <w:p w14:paraId="517A2A01" w14:textId="77777777" w:rsidR="00A445B8" w:rsidRDefault="00A445B8">
      <w:pPr>
        <w:rPr>
          <w:sz w:val="12"/>
        </w:rPr>
      </w:pPr>
      <w:r>
        <w:continuationSeparator/>
      </w:r>
    </w:p>
  </w:footnote>
  <w:footnote w:id="1">
    <w:p w14:paraId="2EE7B298" w14:textId="77777777" w:rsidR="000208B8" w:rsidRDefault="00000000" w:rsidP="00BE46B8">
      <w:pPr>
        <w:pStyle w:val="Lbjegyzetszveg"/>
        <w:jc w:val="both"/>
      </w:pPr>
      <w:r>
        <w:rPr>
          <w:rStyle w:val="FootnoteCharacters"/>
        </w:rPr>
        <w:footnoteRef/>
      </w:r>
      <w:r>
        <w:tab/>
        <w:t>Az 1. § (2) bekezdése az Üllés Nagyközségi Önkormányzata Képviselő-testületének 7/2023. (IV.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">
    <w:p w14:paraId="09BB2B4B" w14:textId="77777777" w:rsidR="000208B8" w:rsidRDefault="00000000" w:rsidP="00BE46B8">
      <w:pPr>
        <w:pStyle w:val="Lbjegyzetszveg"/>
        <w:jc w:val="both"/>
      </w:pPr>
      <w:r>
        <w:rPr>
          <w:rStyle w:val="FootnoteCharacters"/>
        </w:rPr>
        <w:footnoteRef/>
      </w:r>
      <w:r>
        <w:tab/>
        <w:t>A 3. §-t az Üllés Nagyközségi Önkormányzata Képviselő-testületének 7/2023. (IV. 19.) önkormányzati rendelete 2. § a) pontja hatályon kívül helyezte.</w:t>
      </w:r>
    </w:p>
  </w:footnote>
  <w:footnote w:id="3">
    <w:p w14:paraId="6C7886F4" w14:textId="77777777" w:rsidR="000208B8" w:rsidRDefault="00000000" w:rsidP="00BE46B8">
      <w:pPr>
        <w:pStyle w:val="Lbjegyzetszveg"/>
        <w:jc w:val="both"/>
      </w:pPr>
      <w:r>
        <w:rPr>
          <w:rStyle w:val="FootnoteCharacters"/>
        </w:rPr>
        <w:footnoteRef/>
      </w:r>
      <w:r>
        <w:tab/>
        <w:t>Az 5. § a 2010. évi CXXX. törvény 12. § (2) bekezdése alapján hatályát vesztette.</w:t>
      </w:r>
    </w:p>
  </w:footnote>
  <w:footnote w:id="4">
    <w:p w14:paraId="66DE2D02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„Bölcsőde”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5">
    <w:p w14:paraId="747194FE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3.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6">
    <w:p w14:paraId="446DCA5C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4.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7">
    <w:p w14:paraId="42F90F74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5.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8">
    <w:p w14:paraId="67D29B6C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6.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9">
    <w:p w14:paraId="15A1669D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„Óvoda”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0">
    <w:p w14:paraId="6BEA497C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8.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1">
    <w:p w14:paraId="1611F995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9.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2">
    <w:p w14:paraId="4AA09362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10.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3">
    <w:p w14:paraId="0D42F0AB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„Iskolai napközi”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4">
    <w:p w14:paraId="5C179055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12.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5">
    <w:p w14:paraId="0F090046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13.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6">
    <w:p w14:paraId="675C266A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14.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7">
    <w:p w14:paraId="553A980F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„Erdei iskola gyerek étkezés”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8">
    <w:p w14:paraId="43E85256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16.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9">
    <w:p w14:paraId="42AB93BF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17.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0">
    <w:p w14:paraId="4B4FCC72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18.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1">
    <w:p w14:paraId="4F6304E2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19.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2">
    <w:p w14:paraId="24BF3948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20.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3">
    <w:p w14:paraId="57053734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„Erdei Iskola Felnőtt étkezés”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4">
    <w:p w14:paraId="7E239AA2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22.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5">
    <w:p w14:paraId="36F02367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23.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6">
    <w:p w14:paraId="358AE549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24.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7">
    <w:p w14:paraId="2C8AE435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25.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8">
    <w:p w14:paraId="6761920E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26.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9">
    <w:p w14:paraId="252D03E5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„Felnőtt ebéd” sora az Üllés Nagyközségi Önkormányzata Képviselő-testületének 20/2022. (XI. 19.)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30">
    <w:p w14:paraId="4AFB35BE" w14:textId="77777777" w:rsidR="000208B8" w:rsidRDefault="00000000">
      <w:pPr>
        <w:pStyle w:val="Lbjegyzetszveg"/>
      </w:pPr>
      <w:r>
        <w:rPr>
          <w:rStyle w:val="FootnoteCharacters"/>
        </w:rPr>
        <w:footnoteRef/>
      </w:r>
      <w:r>
        <w:tab/>
        <w:t>Az 1. mellékletben foglalt táblázat 28. sorát az Üllés Nagyközségi Önkormányzata Képviselő-testületének 7/2023. (IV. 19.) önkormányzati rendelete 2. § b) pontja hatályon kívül helyezte.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1440E"/>
    <w:multiLevelType w:val="multilevel"/>
    <w:tmpl w:val="00AADE0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395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B8"/>
    <w:rsid w:val="000208B8"/>
    <w:rsid w:val="00651E2B"/>
    <w:rsid w:val="00916037"/>
    <w:rsid w:val="009B4187"/>
    <w:rsid w:val="00A445B8"/>
    <w:rsid w:val="00BE46B8"/>
    <w:rsid w:val="00B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6481"/>
  <w15:docId w15:val="{C65F12DE-F7C2-4504-B00E-6362E07F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28D4-B2A3-4BF8-8F80-05C1D0A9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ul-bmarti</dc:creator>
  <dc:description/>
  <cp:lastModifiedBy>ul-bmarti</cp:lastModifiedBy>
  <cp:revision>4</cp:revision>
  <cp:lastPrinted>2023-04-20T08:02:00Z</cp:lastPrinted>
  <dcterms:created xsi:type="dcterms:W3CDTF">2023-04-19T18:29:00Z</dcterms:created>
  <dcterms:modified xsi:type="dcterms:W3CDTF">2023-04-20T08:55:00Z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