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Domaszék Községi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Domaszék Községi Önkormányzat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6781 Domaszék, Köztársaság tér 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15726542-8411-321-06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726544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15726542-2-06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12067008-00241944-00100009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Raiffeisen Bank Zrt.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Kispéter Géza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591A50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Domaszék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1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Domaszék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1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smartTag w:uri="urn:schemas-microsoft-com:office:smarttags" w:element="metricconverter">
        <w:smartTagPr>
          <w:attr w:name="ProductID" w:val="696,54 m2"/>
        </w:smartTagPr>
        <w:r w:rsidRPr="00DC4269">
          <w:rPr>
            <w:rFonts w:ascii="Arial" w:hAnsi="Arial" w:cs="Arial"/>
            <w:noProof/>
            <w:color w:val="000000"/>
            <w:shd w:val="clear" w:color="auto" w:fill="D9D9D9"/>
          </w:rPr>
          <w:t>696,54</w:t>
        </w:r>
        <w:r w:rsidRPr="00DC4269">
          <w:rPr>
            <w:rFonts w:ascii="Arial" w:hAnsi="Arial" w:cs="Arial"/>
            <w:color w:val="000000"/>
          </w:rPr>
          <w:t xml:space="preserve"> m2</w:t>
        </w:r>
      </w:smartTag>
      <w:r w:rsidRPr="00DC4269">
        <w:rPr>
          <w:rFonts w:ascii="Arial" w:hAnsi="Arial" w:cs="Arial"/>
          <w:color w:val="000000"/>
        </w:rPr>
        <w:t xml:space="preserve"> területnagyságú, a Tervdokumentációban rögzített helyszínrajz szerint megépítendő Létesítmény alapterületének megfelelő területen földhasználati jogot enged.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2.089.620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shd w:val="clear" w:color="auto" w:fill="D9D9D9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Kispéter Géza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widowControl w:val="0"/>
        <w:numPr>
          <w:ilvl w:val="0"/>
          <w:numId w:val="11"/>
        </w:numPr>
        <w:spacing w:after="0" w:line="252" w:lineRule="auto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591A50" w:rsidRPr="00DC4269" w:rsidRDefault="00591A50" w:rsidP="00903381">
      <w:pPr>
        <w:widowControl w:val="0"/>
        <w:numPr>
          <w:ilvl w:val="0"/>
          <w:numId w:val="11"/>
        </w:numPr>
        <w:spacing w:after="0" w:line="252" w:lineRule="auto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591A50" w:rsidRPr="00DC4269" w:rsidRDefault="00591A50" w:rsidP="00903381">
      <w:pPr>
        <w:widowControl w:val="0"/>
        <w:numPr>
          <w:ilvl w:val="0"/>
          <w:numId w:val="11"/>
        </w:numPr>
        <w:spacing w:after="0" w:line="252" w:lineRule="auto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591A50" w:rsidRPr="00DC4269" w:rsidRDefault="00591A50" w:rsidP="00903381">
      <w:pPr>
        <w:widowControl w:val="0"/>
        <w:numPr>
          <w:ilvl w:val="0"/>
          <w:numId w:val="11"/>
        </w:numPr>
        <w:spacing w:after="0" w:line="252" w:lineRule="auto"/>
        <w:rPr>
          <w:rFonts w:ascii="Arial" w:hAnsi="Arial" w:cs="Arial"/>
        </w:rPr>
        <w:sectPr w:rsidR="00591A50" w:rsidRPr="00DC4269" w:rsidSect="00FD7E55">
          <w:footerReference w:type="default" r:id="rId7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Bordány Községi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Bordány Községi Önkormányzat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6795 Bordány, Benke Gedeon u. 44.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15726652-8411-321-06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726654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15726652-2-06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10402142-21423516-00000000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K &amp; H Bank Zrt.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Tanács Gábor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591A50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Bordány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274/1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Bordány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274/1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120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591A50" w:rsidRPr="00DC4269" w:rsidRDefault="00591A50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4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591A50" w:rsidRPr="00DC4269" w:rsidRDefault="00591A50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591A50" w:rsidRPr="00DC4269" w:rsidRDefault="00591A50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591A50" w:rsidRPr="00DC4269" w:rsidRDefault="00591A50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591A50" w:rsidRPr="00DC4269" w:rsidRDefault="00591A50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591A50" w:rsidRPr="00DC4269" w:rsidRDefault="00591A50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180.000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591A50" w:rsidRPr="00DC4269" w:rsidRDefault="00591A50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shd w:val="clear" w:color="auto" w:fill="D9D9D9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Tanács Gábor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591A50" w:rsidRPr="00DC4269" w:rsidTr="009434CD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5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15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15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15"/>
        </w:numPr>
        <w:spacing w:line="252" w:lineRule="auto"/>
        <w:contextualSpacing w:val="0"/>
        <w:jc w:val="left"/>
        <w:rPr>
          <w:rFonts w:ascii="Arial" w:hAnsi="Arial" w:cs="Arial"/>
        </w:rPr>
        <w:sectPr w:rsidR="00591A50" w:rsidRPr="00DC4269" w:rsidSect="00FD7E55">
          <w:footerReference w:type="default" r:id="rId8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Forráskút Község Önkormányzata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Forráskút Község Önkormányzata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6793 Forrákút, Fő u. 74.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15726937-8411-321-06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726939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15726937-2-06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57600039-11059462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Partiscum Takarékszövetkezet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Fodor Imre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591A50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Forráskút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46/4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6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Forráskút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46/4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883,71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6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591A50" w:rsidRPr="00DC4269" w:rsidRDefault="00591A50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591A50" w:rsidRPr="00DC4269" w:rsidRDefault="00591A50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591A50" w:rsidRPr="00DC4269" w:rsidRDefault="00591A50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591A50" w:rsidRPr="00DC4269" w:rsidRDefault="00591A50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6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591A50" w:rsidRPr="00DC4269" w:rsidRDefault="00591A50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591A50" w:rsidRPr="00DC4269" w:rsidRDefault="00591A50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591A50" w:rsidRPr="00DC4269" w:rsidRDefault="00591A50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591A50" w:rsidRPr="00DC4269" w:rsidRDefault="00591A50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591A50" w:rsidRPr="00DC4269" w:rsidRDefault="00591A50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883.710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591A50" w:rsidRPr="00DC4269" w:rsidRDefault="00591A50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shd w:val="clear" w:color="auto" w:fill="D9D9D9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Fodor Imre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3"/>
          <w:numId w:val="16"/>
        </w:numPr>
        <w:spacing w:line="252" w:lineRule="auto"/>
        <w:ind w:left="426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591A50" w:rsidRPr="00DC4269" w:rsidRDefault="00591A50" w:rsidP="00903381">
      <w:pPr>
        <w:pStyle w:val="ListParagraph"/>
        <w:widowControl w:val="0"/>
        <w:numPr>
          <w:ilvl w:val="3"/>
          <w:numId w:val="16"/>
        </w:numPr>
        <w:spacing w:line="252" w:lineRule="auto"/>
        <w:ind w:left="426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591A50" w:rsidRPr="00DC4269" w:rsidRDefault="00591A50" w:rsidP="00903381">
      <w:pPr>
        <w:pStyle w:val="ListParagraph"/>
        <w:widowControl w:val="0"/>
        <w:numPr>
          <w:ilvl w:val="3"/>
          <w:numId w:val="16"/>
        </w:numPr>
        <w:spacing w:line="252" w:lineRule="auto"/>
        <w:ind w:left="426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591A50" w:rsidRPr="00DC4269" w:rsidRDefault="00591A50" w:rsidP="00903381">
      <w:pPr>
        <w:pStyle w:val="ListParagraph"/>
        <w:widowControl w:val="0"/>
        <w:numPr>
          <w:ilvl w:val="3"/>
          <w:numId w:val="16"/>
        </w:numPr>
        <w:spacing w:line="252" w:lineRule="auto"/>
        <w:ind w:left="426"/>
        <w:contextualSpacing w:val="0"/>
        <w:jc w:val="left"/>
        <w:rPr>
          <w:rFonts w:ascii="Arial" w:hAnsi="Arial" w:cs="Arial"/>
        </w:rPr>
        <w:sectPr w:rsidR="00591A50" w:rsidRPr="00DC4269" w:rsidSect="00FD7E55">
          <w:footerReference w:type="default" r:id="rId9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Kistelek Város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Kistelek Város Önkormányzat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6760 Kistelek, Árpád u. 1-3.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15726597-8411-321-06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726599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15726597-2-06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10402142-50494849-52501008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K &amp; H Bank Zrt.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Nagy Sándor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591A50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Kistelek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2709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Kistelek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2709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839,97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1.679.940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shd w:val="clear" w:color="auto" w:fill="D9D9D9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Nagy Sándor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1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1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18"/>
        </w:numPr>
        <w:spacing w:line="252" w:lineRule="auto"/>
        <w:contextualSpacing w:val="0"/>
        <w:jc w:val="left"/>
        <w:rPr>
          <w:rFonts w:ascii="Arial" w:hAnsi="Arial" w:cs="Arial"/>
        </w:rPr>
        <w:sectPr w:rsidR="00591A50" w:rsidRPr="00DC4269" w:rsidSect="00FD7E55">
          <w:footerReference w:type="default" r:id="rId10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Mórahalom Városi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Mórahalom Városi Önkormányzat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6782 Mórahalom, szentháromság tér 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15726731-8411-321-06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726731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15726731-2-06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11735115-15354477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OTP Bank Nyrt.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Nógrádi Zoltán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591A50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 és kompakt válogatómű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Mórahalom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Külterület 081/2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Mórahalom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Külterület 081/2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1374,7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1.099.760</w:t>
      </w:r>
      <w:r w:rsidRPr="00DC4269">
        <w:rPr>
          <w:rFonts w:ascii="Arial" w:hAnsi="Arial" w:cs="Arial"/>
          <w:color w:val="000000"/>
        </w:rPr>
        <w:t>,-Ft + Áfa összegben állapítják meg.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shd w:val="clear" w:color="auto" w:fill="D9D9D9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Nógrádi Zoltán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0"/>
        </w:numPr>
        <w:spacing w:line="252" w:lineRule="auto"/>
        <w:contextualSpacing w:val="0"/>
        <w:jc w:val="left"/>
        <w:rPr>
          <w:rFonts w:ascii="Arial" w:hAnsi="Arial" w:cs="Arial"/>
        </w:rPr>
        <w:sectPr w:rsidR="00591A50" w:rsidRPr="00DC4269" w:rsidSect="00FD7E55">
          <w:footerReference w:type="default" r:id="rId11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Ruzsa Község Önkormányzata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Ruzsa Község Önkormányzata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6786 Ruzsa, Alkotmány tér 2.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15726614-8411-321-06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726610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15726614-1-06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11735139-15354226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OTP Bank Nyrt.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Sánta Gizella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591A50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Ruzsa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169/22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Ruzsa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169/22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230,18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230.180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shd w:val="clear" w:color="auto" w:fill="D9D9D9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Sánta Gizella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2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2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2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2"/>
        </w:numPr>
        <w:spacing w:line="252" w:lineRule="auto"/>
        <w:contextualSpacing w:val="0"/>
        <w:jc w:val="left"/>
        <w:rPr>
          <w:rFonts w:ascii="Arial" w:hAnsi="Arial" w:cs="Arial"/>
        </w:rPr>
        <w:sectPr w:rsidR="00591A50" w:rsidRPr="00DC4269" w:rsidSect="00FD7E55">
          <w:footerReference w:type="default" r:id="rId12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Szatymaz Községi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Szatymaz Községi Önkormányzat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6763 Szatymaz, Kossuth u. 30.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15726724-8411-321-06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726720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15726724-2-06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10402142-50495355-55501004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K &amp; H Bank Zrt.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Dr. Kormányos László Péter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591A50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Szatymaz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4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Szatymaz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4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870,59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1.305.885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591A50" w:rsidRPr="00DC4269" w:rsidRDefault="00591A50" w:rsidP="00903381">
      <w:pPr>
        <w:autoSpaceDE w:val="0"/>
        <w:spacing w:after="0" w:line="252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591A50" w:rsidRPr="00DC4269" w:rsidRDefault="00591A50" w:rsidP="00903381">
      <w:pPr>
        <w:pStyle w:val="ListParagraph"/>
        <w:spacing w:line="252" w:lineRule="auto"/>
        <w:ind w:left="1416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shd w:val="clear" w:color="auto" w:fill="D9D9D9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Dr. Kormányos László Péter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4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4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4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4"/>
        </w:numPr>
        <w:spacing w:line="252" w:lineRule="auto"/>
        <w:contextualSpacing w:val="0"/>
        <w:jc w:val="left"/>
        <w:rPr>
          <w:rFonts w:ascii="Arial" w:hAnsi="Arial" w:cs="Arial"/>
        </w:rPr>
        <w:sectPr w:rsidR="00591A50" w:rsidRPr="00DC4269" w:rsidSect="00FD7E55">
          <w:footerReference w:type="default" r:id="rId13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Újszentiván Községi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Újszentiván Községi Önkormányzat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6754 Újszentiván, Felszabadulás u. 47.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15726951-5411-321-06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726951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15726951-2-06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10402805-00026599-00000003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K &amp; H Bank Zrt.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Putnik Lázár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591A50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Újszentiván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521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Újszentiván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521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1473,85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2.210.775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shd w:val="clear" w:color="auto" w:fill="D9D9D9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Putnik Lázár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6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6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6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6"/>
        </w:numPr>
        <w:spacing w:line="252" w:lineRule="auto"/>
        <w:contextualSpacing w:val="0"/>
        <w:jc w:val="left"/>
        <w:rPr>
          <w:rFonts w:ascii="Arial" w:hAnsi="Arial" w:cs="Arial"/>
        </w:rPr>
        <w:sectPr w:rsidR="00591A50" w:rsidRPr="00DC4269" w:rsidSect="00FD7E55">
          <w:footerReference w:type="default" r:id="rId14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Üllés Nagyközség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Üllés Nagyközség Önkormányzat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6794 Üllés, Dorozsmai út 40.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15726566-8411-321-06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726566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15726566-1-06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11735005-15354099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OTP Bank Nyrt.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Nagy Attila Gyula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591A50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Üllés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3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Üllés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3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345,93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345.930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shd w:val="clear" w:color="auto" w:fill="D9D9D9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Nagy Attila Gyula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 xml:space="preserve">dátum: </w:t>
            </w:r>
            <w:r>
              <w:rPr>
                <w:rFonts w:ascii="Arial" w:hAnsi="Arial" w:cs="Arial"/>
              </w:rPr>
              <w:t>2013.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 xml:space="preserve">dátum: </w:t>
            </w:r>
            <w:r>
              <w:rPr>
                <w:rFonts w:ascii="Arial" w:hAnsi="Arial" w:cs="Arial"/>
              </w:rPr>
              <w:t xml:space="preserve">2013. 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28"/>
        </w:numPr>
        <w:spacing w:line="252" w:lineRule="auto"/>
        <w:contextualSpacing w:val="0"/>
        <w:jc w:val="left"/>
        <w:rPr>
          <w:rFonts w:ascii="Arial" w:hAnsi="Arial" w:cs="Arial"/>
        </w:rPr>
        <w:sectPr w:rsidR="00591A50" w:rsidRPr="00DC4269" w:rsidSect="00FD7E55">
          <w:footerReference w:type="default" r:id="rId15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Zákányszék Község Önkormányzata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Zákányszék Község Önkormányzata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6787 Zákányszék, Lengyel tér 7.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15726573-8411-321-06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726577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15726573-2-06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____________________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__________________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Matuszka Antal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591A50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591A50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591A50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Zákányszék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167/17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Zákányszék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167/17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230,85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591A50" w:rsidRPr="00DC4269" w:rsidRDefault="00591A50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184.680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591A50" w:rsidRPr="00DC4269" w:rsidRDefault="00591A50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591A50" w:rsidRPr="00DC4269" w:rsidRDefault="00591A50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591A50" w:rsidRPr="00DC4269" w:rsidRDefault="00591A50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591A50" w:rsidRPr="00DC4269" w:rsidRDefault="00591A50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c>
          <w:tcPr>
            <w:tcW w:w="4604" w:type="dxa"/>
            <w:shd w:val="clear" w:color="auto" w:fill="D9D9D9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Matuszka Antal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591A50" w:rsidRPr="00DC4269" w:rsidTr="00F80237">
        <w:tc>
          <w:tcPr>
            <w:tcW w:w="4604" w:type="dxa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bookmarkStart w:id="0" w:name="_GoBack" w:colFirst="0" w:colLast="1"/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591A50" w:rsidRPr="00DC4269" w:rsidRDefault="00591A50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  <w:bookmarkEnd w:id="0"/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4"/>
        <w:gridCol w:w="4644"/>
      </w:tblGrid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1A50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591A50" w:rsidRPr="00DC4269" w:rsidTr="00F80237">
        <w:trPr>
          <w:jc w:val="center"/>
        </w:trPr>
        <w:tc>
          <w:tcPr>
            <w:tcW w:w="507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591A50" w:rsidRPr="00DC4269" w:rsidRDefault="00591A50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591A50" w:rsidRPr="00DC4269" w:rsidRDefault="00591A50" w:rsidP="00903381">
      <w:pPr>
        <w:spacing w:after="0" w:line="252" w:lineRule="auto"/>
        <w:rPr>
          <w:rFonts w:ascii="Arial" w:hAnsi="Arial" w:cs="Arial"/>
        </w:rPr>
      </w:pPr>
    </w:p>
    <w:p w:rsidR="00591A50" w:rsidRPr="00DC4269" w:rsidRDefault="00591A50" w:rsidP="00903381">
      <w:pPr>
        <w:pStyle w:val="ListParagraph"/>
        <w:widowControl w:val="0"/>
        <w:numPr>
          <w:ilvl w:val="0"/>
          <w:numId w:val="3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3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591A50" w:rsidRPr="00DC4269" w:rsidRDefault="00591A50" w:rsidP="00903381">
      <w:pPr>
        <w:pStyle w:val="ListParagraph"/>
        <w:widowControl w:val="0"/>
        <w:numPr>
          <w:ilvl w:val="0"/>
          <w:numId w:val="3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591A50" w:rsidRDefault="00591A50" w:rsidP="00903381">
      <w:r w:rsidRPr="00DC4269">
        <w:rPr>
          <w:rFonts w:ascii="Arial" w:hAnsi="Arial" w:cs="Arial"/>
        </w:rPr>
        <w:t>melléklet: értékbecslés földhasználati díj megállapítására vonatkozóan</w:t>
      </w:r>
    </w:p>
    <w:sectPr w:rsidR="00591A50" w:rsidSect="00E7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50" w:rsidRDefault="00591A50" w:rsidP="00E7700D">
      <w:pPr>
        <w:spacing w:after="0" w:line="240" w:lineRule="auto"/>
      </w:pPr>
      <w:r>
        <w:separator/>
      </w:r>
    </w:p>
  </w:endnote>
  <w:endnote w:type="continuationSeparator" w:id="0">
    <w:p w:rsidR="00591A50" w:rsidRDefault="00591A50" w:rsidP="00E7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Default="00591A50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Default="00591A50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Default="00591A50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Default="00591A50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Default="00591A50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Default="00591A50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Default="00591A50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Default="00591A50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Default="00591A50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50" w:rsidRDefault="00591A50" w:rsidP="00E7700D">
      <w:pPr>
        <w:spacing w:after="0" w:line="240" w:lineRule="auto"/>
      </w:pPr>
      <w:r>
        <w:separator/>
      </w:r>
    </w:p>
  </w:footnote>
  <w:footnote w:type="continuationSeparator" w:id="0">
    <w:p w:rsidR="00591A50" w:rsidRDefault="00591A50" w:rsidP="00E7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1067BE6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>
    <w:nsid w:val="02AF1B66"/>
    <w:multiLevelType w:val="hybridMultilevel"/>
    <w:tmpl w:val="DF8ED5D8"/>
    <w:lvl w:ilvl="0" w:tplc="33720D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10A75"/>
    <w:multiLevelType w:val="hybridMultilevel"/>
    <w:tmpl w:val="C67AB546"/>
    <w:lvl w:ilvl="0" w:tplc="6616C84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B3476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>
    <w:nsid w:val="0BBD062B"/>
    <w:multiLevelType w:val="hybridMultilevel"/>
    <w:tmpl w:val="E6AE3D3C"/>
    <w:lvl w:ilvl="0" w:tplc="0CCA0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D0B64"/>
    <w:multiLevelType w:val="singleLevel"/>
    <w:tmpl w:val="389E61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0A66ECD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">
    <w:nsid w:val="17CE6F69"/>
    <w:multiLevelType w:val="hybridMultilevel"/>
    <w:tmpl w:val="4C2EF124"/>
    <w:lvl w:ilvl="0" w:tplc="8D8EF42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2B6C41"/>
    <w:multiLevelType w:val="hybridMultilevel"/>
    <w:tmpl w:val="638C4E52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FA53C08"/>
    <w:multiLevelType w:val="hybridMultilevel"/>
    <w:tmpl w:val="73089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74D0B"/>
    <w:multiLevelType w:val="hybridMultilevel"/>
    <w:tmpl w:val="D8364E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5E3E5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23BE7BDF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9">
    <w:nsid w:val="26473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282D1257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>
    <w:nsid w:val="29526B3B"/>
    <w:multiLevelType w:val="hybridMultilevel"/>
    <w:tmpl w:val="F2CAD9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C7EBE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3">
    <w:nsid w:val="2CBA1D93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4">
    <w:nsid w:val="2EE1333B"/>
    <w:multiLevelType w:val="hybridMultilevel"/>
    <w:tmpl w:val="162633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54761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>
    <w:nsid w:val="32CE4364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>
    <w:nsid w:val="392A45DB"/>
    <w:multiLevelType w:val="hybridMultilevel"/>
    <w:tmpl w:val="28709E28"/>
    <w:lvl w:ilvl="0" w:tplc="040E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30F44"/>
    <w:multiLevelType w:val="hybridMultilevel"/>
    <w:tmpl w:val="A9EA24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C07EE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">
    <w:nsid w:val="423111B4"/>
    <w:multiLevelType w:val="hybridMultilevel"/>
    <w:tmpl w:val="671404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5B7D9B"/>
    <w:multiLevelType w:val="hybridMultilevel"/>
    <w:tmpl w:val="D8364E74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AF7AB4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3">
    <w:nsid w:val="4DB5507B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4">
    <w:nsid w:val="4EDB7E9A"/>
    <w:multiLevelType w:val="multilevel"/>
    <w:tmpl w:val="285E01E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5">
    <w:nsid w:val="532B72EB"/>
    <w:multiLevelType w:val="hybridMultilevel"/>
    <w:tmpl w:val="647AF178"/>
    <w:lvl w:ilvl="0" w:tplc="1616B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D166F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">
    <w:nsid w:val="59EB5F23"/>
    <w:multiLevelType w:val="hybridMultilevel"/>
    <w:tmpl w:val="F990C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62DA3"/>
    <w:multiLevelType w:val="hybridMultilevel"/>
    <w:tmpl w:val="B3AAF576"/>
    <w:lvl w:ilvl="0" w:tplc="C152D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3A3D7D"/>
    <w:multiLevelType w:val="hybridMultilevel"/>
    <w:tmpl w:val="6552877A"/>
    <w:lvl w:ilvl="0" w:tplc="58DA29F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F10851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1">
    <w:nsid w:val="643351E6"/>
    <w:multiLevelType w:val="hybridMultilevel"/>
    <w:tmpl w:val="7D48A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96460"/>
    <w:multiLevelType w:val="hybridMultilevel"/>
    <w:tmpl w:val="2866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CD0727"/>
    <w:multiLevelType w:val="hybridMultilevel"/>
    <w:tmpl w:val="026E8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8319E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5">
    <w:nsid w:val="7C372701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6">
    <w:nsid w:val="7C662FA7"/>
    <w:multiLevelType w:val="hybridMultilevel"/>
    <w:tmpl w:val="EF6822FE"/>
    <w:lvl w:ilvl="0" w:tplc="1DA82AE4">
      <w:start w:val="2"/>
      <w:numFmt w:val="decimal"/>
      <w:lvlText w:val="%1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8"/>
  </w:num>
  <w:num w:numId="4">
    <w:abstractNumId w:val="41"/>
  </w:num>
  <w:num w:numId="5">
    <w:abstractNumId w:val="21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17"/>
  </w:num>
  <w:num w:numId="11">
    <w:abstractNumId w:val="0"/>
  </w:num>
  <w:num w:numId="12">
    <w:abstractNumId w:val="1"/>
  </w:num>
  <w:num w:numId="13">
    <w:abstractNumId w:val="14"/>
  </w:num>
  <w:num w:numId="14">
    <w:abstractNumId w:val="34"/>
  </w:num>
  <w:num w:numId="15">
    <w:abstractNumId w:val="23"/>
  </w:num>
  <w:num w:numId="16">
    <w:abstractNumId w:val="44"/>
  </w:num>
  <w:num w:numId="17">
    <w:abstractNumId w:val="32"/>
  </w:num>
  <w:num w:numId="18">
    <w:abstractNumId w:val="12"/>
  </w:num>
  <w:num w:numId="19">
    <w:abstractNumId w:val="40"/>
  </w:num>
  <w:num w:numId="20">
    <w:abstractNumId w:val="29"/>
  </w:num>
  <w:num w:numId="21">
    <w:abstractNumId w:val="33"/>
  </w:num>
  <w:num w:numId="22">
    <w:abstractNumId w:val="25"/>
  </w:num>
  <w:num w:numId="23">
    <w:abstractNumId w:val="36"/>
  </w:num>
  <w:num w:numId="24">
    <w:abstractNumId w:val="26"/>
  </w:num>
  <w:num w:numId="25">
    <w:abstractNumId w:val="45"/>
  </w:num>
  <w:num w:numId="26">
    <w:abstractNumId w:val="9"/>
  </w:num>
  <w:num w:numId="27">
    <w:abstractNumId w:val="22"/>
  </w:num>
  <w:num w:numId="28">
    <w:abstractNumId w:val="20"/>
  </w:num>
  <w:num w:numId="29">
    <w:abstractNumId w:val="18"/>
  </w:num>
  <w:num w:numId="30">
    <w:abstractNumId w:val="6"/>
  </w:num>
  <w:num w:numId="31">
    <w:abstractNumId w:val="7"/>
  </w:num>
  <w:num w:numId="32">
    <w:abstractNumId w:val="11"/>
  </w:num>
  <w:num w:numId="33">
    <w:abstractNumId w:val="19"/>
  </w:num>
  <w:num w:numId="34">
    <w:abstractNumId w:val="37"/>
  </w:num>
  <w:num w:numId="35">
    <w:abstractNumId w:val="30"/>
  </w:num>
  <w:num w:numId="36">
    <w:abstractNumId w:val="27"/>
  </w:num>
  <w:num w:numId="37">
    <w:abstractNumId w:val="43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46"/>
  </w:num>
  <w:num w:numId="43">
    <w:abstractNumId w:val="39"/>
  </w:num>
  <w:num w:numId="44">
    <w:abstractNumId w:val="35"/>
  </w:num>
  <w:num w:numId="45">
    <w:abstractNumId w:val="13"/>
  </w:num>
  <w:num w:numId="46">
    <w:abstractNumId w:val="42"/>
  </w:num>
  <w:num w:numId="47">
    <w:abstractNumId w:val="28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81"/>
    <w:rsid w:val="0039207A"/>
    <w:rsid w:val="00591A50"/>
    <w:rsid w:val="00797D1A"/>
    <w:rsid w:val="00903381"/>
    <w:rsid w:val="009434CD"/>
    <w:rsid w:val="00993BF3"/>
    <w:rsid w:val="009E3BB8"/>
    <w:rsid w:val="00C56D19"/>
    <w:rsid w:val="00DC4269"/>
    <w:rsid w:val="00E7700D"/>
    <w:rsid w:val="00F80237"/>
    <w:rsid w:val="00FD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3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3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aliases w:val="Okean4,Okean_NFU"/>
    <w:basedOn w:val="Normal"/>
    <w:next w:val="Normal"/>
    <w:link w:val="Heading4Char"/>
    <w:uiPriority w:val="99"/>
    <w:qFormat/>
    <w:rsid w:val="00903381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100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3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33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Okean4 Char,Okean_NFU Char"/>
    <w:basedOn w:val="DefaultParagraphFont"/>
    <w:link w:val="Heading4"/>
    <w:uiPriority w:val="99"/>
    <w:locked/>
    <w:rsid w:val="00903381"/>
    <w:rPr>
      <w:rFonts w:ascii="Times New Roman" w:hAnsi="Times New Roman" w:cs="Times New Roman"/>
      <w:b/>
      <w:spacing w:val="100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90338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381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903381"/>
    <w:pPr>
      <w:spacing w:after="0" w:line="240" w:lineRule="auto"/>
      <w:ind w:left="720"/>
      <w:contextualSpacing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90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3381"/>
    <w:rPr>
      <w:rFonts w:ascii="Courier New" w:hAnsi="Courier New" w:cs="Courier New"/>
      <w:sz w:val="20"/>
      <w:szCs w:val="20"/>
      <w:lang w:eastAsia="hu-HU"/>
    </w:rPr>
  </w:style>
  <w:style w:type="paragraph" w:styleId="NormalWeb">
    <w:name w:val="Normal (Web)"/>
    <w:aliases w:val="Normal (Web) Char,Char1 Char,Char1 Char Char"/>
    <w:basedOn w:val="Normal"/>
    <w:uiPriority w:val="99"/>
    <w:rsid w:val="009033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trzs21">
    <w:name w:val="Szövegtörzs 21"/>
    <w:basedOn w:val="Normal"/>
    <w:uiPriority w:val="99"/>
    <w:rsid w:val="0090338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bsatz-Standardschriftart">
    <w:name w:val="Absatz-Standardschriftart"/>
    <w:uiPriority w:val="99"/>
    <w:rsid w:val="00903381"/>
  </w:style>
  <w:style w:type="character" w:customStyle="1" w:styleId="WW-Absatz-Standardschriftart">
    <w:name w:val="WW-Absatz-Standardschriftart"/>
    <w:uiPriority w:val="99"/>
    <w:rsid w:val="00903381"/>
  </w:style>
  <w:style w:type="character" w:customStyle="1" w:styleId="WW8Num3z0">
    <w:name w:val="WW8Num3z0"/>
    <w:uiPriority w:val="99"/>
    <w:rsid w:val="00903381"/>
    <w:rPr>
      <w:rFonts w:ascii="Arial" w:eastAsia="Times New Roman" w:hAnsi="Arial"/>
    </w:rPr>
  </w:style>
  <w:style w:type="character" w:customStyle="1" w:styleId="WW8Num3z1">
    <w:name w:val="WW8Num3z1"/>
    <w:uiPriority w:val="99"/>
    <w:rsid w:val="00903381"/>
    <w:rPr>
      <w:rFonts w:ascii="Courier New" w:hAnsi="Courier New"/>
    </w:rPr>
  </w:style>
  <w:style w:type="character" w:customStyle="1" w:styleId="WW8Num3z2">
    <w:name w:val="WW8Num3z2"/>
    <w:uiPriority w:val="99"/>
    <w:rsid w:val="00903381"/>
    <w:rPr>
      <w:rFonts w:ascii="Wingdings" w:hAnsi="Wingdings"/>
    </w:rPr>
  </w:style>
  <w:style w:type="character" w:customStyle="1" w:styleId="WW8Num3z3">
    <w:name w:val="WW8Num3z3"/>
    <w:uiPriority w:val="99"/>
    <w:rsid w:val="00903381"/>
    <w:rPr>
      <w:rFonts w:ascii="Symbol" w:hAnsi="Symbol"/>
    </w:rPr>
  </w:style>
  <w:style w:type="character" w:customStyle="1" w:styleId="WW8NumSt1z0">
    <w:name w:val="WW8NumSt1z0"/>
    <w:uiPriority w:val="99"/>
    <w:rsid w:val="00903381"/>
    <w:rPr>
      <w:rFonts w:ascii="Symbol" w:hAnsi="Symbol"/>
    </w:rPr>
  </w:style>
  <w:style w:type="character" w:customStyle="1" w:styleId="WW8NumSt1z1">
    <w:name w:val="WW8NumSt1z1"/>
    <w:uiPriority w:val="99"/>
    <w:rsid w:val="00903381"/>
    <w:rPr>
      <w:rFonts w:ascii="Courier New" w:hAnsi="Courier New"/>
    </w:rPr>
  </w:style>
  <w:style w:type="character" w:customStyle="1" w:styleId="WW8NumSt1z2">
    <w:name w:val="WW8NumSt1z2"/>
    <w:uiPriority w:val="99"/>
    <w:rsid w:val="00903381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903381"/>
  </w:style>
  <w:style w:type="character" w:styleId="PageNumber">
    <w:name w:val="page number"/>
    <w:basedOn w:val="DefaultParagraphFont"/>
    <w:uiPriority w:val="99"/>
    <w:rsid w:val="00903381"/>
    <w:rPr>
      <w:rFonts w:cs="Times New Roman"/>
    </w:rPr>
  </w:style>
  <w:style w:type="character" w:styleId="Hyperlink">
    <w:name w:val="Hyperlink"/>
    <w:basedOn w:val="DefaultParagraphFont"/>
    <w:uiPriority w:val="99"/>
    <w:rsid w:val="00903381"/>
    <w:rPr>
      <w:rFonts w:cs="Times New Roman"/>
      <w:color w:val="0000FF"/>
      <w:u w:val="single"/>
    </w:rPr>
  </w:style>
  <w:style w:type="paragraph" w:customStyle="1" w:styleId="Cmsor">
    <w:name w:val="Címsor"/>
    <w:basedOn w:val="Normal"/>
    <w:next w:val="BodyText"/>
    <w:uiPriority w:val="99"/>
    <w:rsid w:val="00903381"/>
    <w:pPr>
      <w:keepNext/>
      <w:widowControl w:val="0"/>
      <w:spacing w:before="240" w:after="120" w:line="240" w:lineRule="auto"/>
    </w:pPr>
    <w:rPr>
      <w:rFonts w:ascii="Arial" w:hAnsi="Arial" w:cs="Lohit Hindi"/>
      <w:sz w:val="28"/>
      <w:szCs w:val="28"/>
      <w:lang w:eastAsia="ar-SA"/>
    </w:rPr>
  </w:style>
  <w:style w:type="paragraph" w:styleId="List">
    <w:name w:val="List"/>
    <w:basedOn w:val="BodyText"/>
    <w:uiPriority w:val="99"/>
    <w:rsid w:val="00903381"/>
    <w:pPr>
      <w:widowControl w:val="0"/>
      <w:suppressAutoHyphens w:val="0"/>
      <w:spacing w:after="120"/>
      <w:jc w:val="left"/>
    </w:pPr>
    <w:rPr>
      <w:rFonts w:ascii="Arial" w:eastAsia="Calibri" w:hAnsi="Arial" w:cs="Lohit Hindi"/>
      <w:b w:val="0"/>
      <w:i w:val="0"/>
      <w:sz w:val="24"/>
    </w:rPr>
  </w:style>
  <w:style w:type="paragraph" w:customStyle="1" w:styleId="Felirat">
    <w:name w:val="Felirat"/>
    <w:basedOn w:val="Normal"/>
    <w:uiPriority w:val="99"/>
    <w:rsid w:val="00903381"/>
    <w:pPr>
      <w:widowControl w:val="0"/>
      <w:suppressLineNumbers/>
      <w:spacing w:before="120" w:after="120" w:line="240" w:lineRule="auto"/>
    </w:pPr>
    <w:rPr>
      <w:rFonts w:ascii="Arial" w:hAnsi="Arial" w:cs="Lohit Hindi"/>
      <w:i/>
      <w:iCs/>
      <w:sz w:val="24"/>
      <w:szCs w:val="24"/>
      <w:lang w:eastAsia="ar-SA"/>
    </w:rPr>
  </w:style>
  <w:style w:type="paragraph" w:customStyle="1" w:styleId="Trgymutat">
    <w:name w:val="Tárgymutató"/>
    <w:basedOn w:val="Normal"/>
    <w:uiPriority w:val="99"/>
    <w:rsid w:val="00903381"/>
    <w:pPr>
      <w:widowControl w:val="0"/>
      <w:suppressLineNumbers/>
      <w:spacing w:after="0" w:line="240" w:lineRule="auto"/>
    </w:pPr>
    <w:rPr>
      <w:rFonts w:ascii="Arial" w:hAnsi="Arial" w:cs="Lohit Hindi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033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3381"/>
    <w:rPr>
      <w:rFonts w:ascii="Arial" w:eastAsia="Times New Roman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9033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3381"/>
    <w:rPr>
      <w:rFonts w:ascii="Arial" w:eastAsia="Times New Roman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903381"/>
    <w:pPr>
      <w:widowControl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381"/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modszerszoveg">
    <w:name w:val="modszerszoveg"/>
    <w:basedOn w:val="Normal"/>
    <w:uiPriority w:val="99"/>
    <w:rsid w:val="0090338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blzattartalom">
    <w:name w:val="Táblázattartalom"/>
    <w:basedOn w:val="Normal"/>
    <w:uiPriority w:val="99"/>
    <w:rsid w:val="00903381"/>
    <w:pPr>
      <w:widowControl w:val="0"/>
      <w:suppressLineNumbers/>
      <w:spacing w:after="0" w:line="240" w:lineRule="auto"/>
    </w:pPr>
    <w:rPr>
      <w:rFonts w:ascii="Arial" w:hAnsi="Arial" w:cs="Arial"/>
      <w:sz w:val="24"/>
      <w:szCs w:val="20"/>
      <w:lang w:eastAsia="ar-SA"/>
    </w:rPr>
  </w:style>
  <w:style w:type="paragraph" w:customStyle="1" w:styleId="Tblzatfejlc">
    <w:name w:val="Táblázatfejléc"/>
    <w:basedOn w:val="Tblzattartalom"/>
    <w:uiPriority w:val="99"/>
    <w:rsid w:val="00903381"/>
    <w:pPr>
      <w:jc w:val="center"/>
    </w:pPr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903381"/>
    <w:rPr>
      <w:rFonts w:ascii="Arial" w:eastAsia="Times New Roman" w:hAnsi="Arial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903381"/>
    <w:pPr>
      <w:widowControl w:val="0"/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72FBA"/>
    <w:rPr>
      <w:sz w:val="20"/>
      <w:szCs w:val="20"/>
      <w:lang w:eastAsia="en-US"/>
    </w:rPr>
  </w:style>
  <w:style w:type="character" w:customStyle="1" w:styleId="JegyzetszvegChar1">
    <w:name w:val="Jegyzetszöveg Char1"/>
    <w:basedOn w:val="DefaultParagraphFont"/>
    <w:uiPriority w:val="99"/>
    <w:semiHidden/>
    <w:rsid w:val="00903381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903381"/>
    <w:rPr>
      <w:rFonts w:ascii="Arial" w:eastAsia="Times New Roman" w:hAnsi="Arial"/>
      <w:b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338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A72FBA"/>
    <w:rPr>
      <w:b/>
      <w:bCs/>
      <w:sz w:val="20"/>
      <w:szCs w:val="20"/>
      <w:lang w:eastAsia="en-US"/>
    </w:rPr>
  </w:style>
  <w:style w:type="character" w:customStyle="1" w:styleId="MegjegyzstrgyaChar1">
    <w:name w:val="Megjegyzés tárgya Char1"/>
    <w:basedOn w:val="JegyzetszvegChar1"/>
    <w:uiPriority w:val="99"/>
    <w:semiHidden/>
    <w:rsid w:val="00903381"/>
    <w:rPr>
      <w:b/>
      <w:bCs/>
    </w:rPr>
  </w:style>
  <w:style w:type="character" w:styleId="Emphasis">
    <w:name w:val="Emphasis"/>
    <w:basedOn w:val="DefaultParagraphFont"/>
    <w:uiPriority w:val="99"/>
    <w:qFormat/>
    <w:rsid w:val="00903381"/>
    <w:rPr>
      <w:rFonts w:cs="Times New Roman"/>
      <w:i/>
    </w:rPr>
  </w:style>
  <w:style w:type="paragraph" w:customStyle="1" w:styleId="Default">
    <w:name w:val="Default"/>
    <w:uiPriority w:val="99"/>
    <w:rsid w:val="009033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0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381"/>
    <w:rPr>
      <w:rFonts w:ascii="Calibri" w:eastAsia="Times New Roman" w:hAnsi="Calibri" w:cs="Times New Roman"/>
    </w:rPr>
  </w:style>
  <w:style w:type="paragraph" w:customStyle="1" w:styleId="Szvegtrzsbehzssal31">
    <w:name w:val="Szövegtörzs behúzással 31"/>
    <w:basedOn w:val="Normal"/>
    <w:uiPriority w:val="99"/>
    <w:rsid w:val="00903381"/>
    <w:pPr>
      <w:widowControl w:val="0"/>
      <w:suppressAutoHyphens/>
      <w:spacing w:after="0" w:line="240" w:lineRule="auto"/>
      <w:ind w:left="2832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folytatsa1">
    <w:name w:val="Lista folytatása1"/>
    <w:basedOn w:val="Normal"/>
    <w:uiPriority w:val="99"/>
    <w:rsid w:val="00903381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WW-Lista21">
    <w:name w:val="WW-Lista 21"/>
    <w:basedOn w:val="Normal"/>
    <w:uiPriority w:val="99"/>
    <w:rsid w:val="00903381"/>
    <w:pPr>
      <w:widowControl w:val="0"/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Felsorols31">
    <w:name w:val="Felsorolás 31"/>
    <w:basedOn w:val="Normal"/>
    <w:uiPriority w:val="99"/>
    <w:rsid w:val="00903381"/>
    <w:pPr>
      <w:widowControl w:val="0"/>
      <w:suppressAutoHyphens/>
      <w:spacing w:before="40" w:after="0" w:line="360" w:lineRule="auto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Felsorols32">
    <w:name w:val="Felsorolás 32"/>
    <w:basedOn w:val="Normal"/>
    <w:uiPriority w:val="99"/>
    <w:rsid w:val="00903381"/>
    <w:pPr>
      <w:spacing w:before="40"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ar-SA"/>
    </w:rPr>
  </w:style>
  <w:style w:type="paragraph" w:customStyle="1" w:styleId="OkeanmagyarazatChar">
    <w:name w:val="Okean_magyarazat Char"/>
    <w:basedOn w:val="Normal"/>
    <w:uiPriority w:val="99"/>
    <w:rsid w:val="00903381"/>
    <w:pPr>
      <w:keepNext/>
      <w:pBdr>
        <w:left w:val="single" w:sz="4" w:space="4" w:color="auto"/>
      </w:pBdr>
      <w:shd w:val="clear" w:color="auto" w:fill="FFFFFF"/>
      <w:spacing w:before="60" w:after="240" w:line="280" w:lineRule="exact"/>
      <w:ind w:left="284"/>
      <w:jc w:val="both"/>
    </w:pPr>
    <w:rPr>
      <w:rFonts w:ascii="Arial" w:eastAsia="Times New Roman" w:hAnsi="Arial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40</Pages>
  <Words>10473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 FÖLDHASZNÁLATI JOG LÉTESÍTÉSÉRŐL</dc:title>
  <dc:subject/>
  <dc:creator>Sziráki Krisztián</dc:creator>
  <cp:keywords/>
  <dc:description/>
  <cp:lastModifiedBy>Felhasználó</cp:lastModifiedBy>
  <cp:revision>3</cp:revision>
  <cp:lastPrinted>2013-09-16T14:01:00Z</cp:lastPrinted>
  <dcterms:created xsi:type="dcterms:W3CDTF">2013-09-16T14:01:00Z</dcterms:created>
  <dcterms:modified xsi:type="dcterms:W3CDTF">2013-09-16T14:10:00Z</dcterms:modified>
</cp:coreProperties>
</file>